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27" w:rsidRPr="00B16827" w:rsidRDefault="00B16827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рішення</w:t>
      </w:r>
    </w:p>
    <w:p w:rsidR="00B16827" w:rsidRPr="00B16827" w:rsidRDefault="00B16827" w:rsidP="00B16827">
      <w:pPr>
        <w:spacing w:after="0" w:line="240" w:lineRule="auto"/>
        <w:ind w:left="1190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16827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Малинської міської ради</w:t>
      </w:r>
    </w:p>
    <w:p w:rsidR="00B16827" w:rsidRPr="00B16827" w:rsidRDefault="00B16827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>-ї сесії 8-го скликання</w:t>
      </w:r>
    </w:p>
    <w:p w:rsidR="00B16827" w:rsidRPr="00B16827" w:rsidRDefault="00CE4212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     2022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</w:p>
    <w:p w:rsidR="004315C5" w:rsidRDefault="004315C5" w:rsidP="00554760">
      <w:pPr>
        <w:spacing w:after="0"/>
        <w:jc w:val="right"/>
        <w:rPr>
          <w:b/>
        </w:rPr>
      </w:pPr>
    </w:p>
    <w:p w:rsidR="00107A4C" w:rsidRPr="00B16827" w:rsidRDefault="00BA1C41" w:rsidP="00B547C3">
      <w:pPr>
        <w:jc w:val="center"/>
        <w:rPr>
          <w:rFonts w:ascii="Times New Roman" w:hAnsi="Times New Roman" w:cs="Times New Roman"/>
          <w:b/>
          <w:sz w:val="28"/>
        </w:rPr>
      </w:pPr>
      <w:r w:rsidRPr="00B16827">
        <w:rPr>
          <w:rFonts w:ascii="Times New Roman" w:hAnsi="Times New Roman" w:cs="Times New Roman"/>
          <w:b/>
          <w:sz w:val="28"/>
        </w:rPr>
        <w:t xml:space="preserve">Округи Малинської </w:t>
      </w:r>
      <w:r w:rsidR="00915D47" w:rsidRPr="00B16827">
        <w:rPr>
          <w:rFonts w:ascii="Times New Roman" w:hAnsi="Times New Roman" w:cs="Times New Roman"/>
          <w:b/>
          <w:sz w:val="28"/>
        </w:rPr>
        <w:t>міської ради</w:t>
      </w:r>
    </w:p>
    <w:tbl>
      <w:tblPr>
        <w:tblStyle w:val="a3"/>
        <w:tblW w:w="150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082"/>
        <w:gridCol w:w="1328"/>
        <w:gridCol w:w="7956"/>
        <w:gridCol w:w="2625"/>
        <w:gridCol w:w="2023"/>
      </w:tblGrid>
      <w:tr w:rsidR="00B16827" w:rsidRPr="00067DBF" w:rsidTr="0023402C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округу 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23402C">
            <w:pPr>
              <w:ind w:left="-19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b/>
                <w:sz w:val="27"/>
                <w:szCs w:val="27"/>
              </w:rPr>
              <w:t>Кількість виборців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b/>
                <w:sz w:val="27"/>
                <w:szCs w:val="27"/>
              </w:rPr>
              <w:t>Перелік вулиць, населених пунктів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b/>
                <w:sz w:val="27"/>
                <w:szCs w:val="27"/>
              </w:rPr>
              <w:t>ПІП депутата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b/>
                <w:sz w:val="27"/>
                <w:szCs w:val="27"/>
              </w:rPr>
              <w:t>Номер телефону</w:t>
            </w:r>
          </w:p>
        </w:tc>
      </w:tr>
      <w:tr w:rsidR="00B16827" w:rsidRPr="00067DBF" w:rsidTr="00FA2853">
        <w:trPr>
          <w:trHeight w:val="360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jc w:val="center"/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181300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jc w:val="center"/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2167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Малин –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Володимирська,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Грушевського,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Драгана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Затишна,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Казарма 101 км,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Кривенчука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Малинівська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Мельника Валерія, вул.</w:t>
            </w:r>
            <w:r w:rsidR="00C251B2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Йосипа </w:t>
            </w:r>
            <w:proofErr w:type="spellStart"/>
            <w:r w:rsidR="00C251B2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Кульчицького</w:t>
            </w:r>
            <w:proofErr w:type="spellEnd"/>
            <w:r w:rsidR="00C251B2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(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Островського</w:t>
            </w:r>
            <w:r w:rsidR="00C251B2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)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Паркова,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Січових Стрільців,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Тараскіна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Фабрична, вул.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Хлібна, пров.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Малинівський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пров.</w:t>
            </w:r>
            <w:r w:rsidR="0032601F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Йосипа </w:t>
            </w:r>
            <w:proofErr w:type="spellStart"/>
            <w:r w:rsidR="0032601F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Кульчицького</w:t>
            </w:r>
            <w:proofErr w:type="spellEnd"/>
            <w:r w:rsidR="0032601F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(Островського)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пров.</w:t>
            </w:r>
            <w:r w:rsidR="004A7B29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Січових Стрільців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Сніцаренко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Леся Андріївна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066-290-10-89</w:t>
            </w:r>
          </w:p>
        </w:tc>
      </w:tr>
      <w:tr w:rsidR="00B16827" w:rsidRPr="00067DBF" w:rsidTr="00FA2853">
        <w:trPr>
          <w:trHeight w:val="34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Чушенко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Сергій Васильович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095-274-11-11</w:t>
            </w:r>
          </w:p>
        </w:tc>
      </w:tr>
      <w:tr w:rsidR="00B16827" w:rsidRPr="00067DBF" w:rsidTr="00FA2853">
        <w:trPr>
          <w:trHeight w:val="210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Шостак Олексій Григорович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096-531-91-76</w:t>
            </w:r>
          </w:p>
        </w:tc>
      </w:tr>
      <w:tr w:rsidR="00B16827" w:rsidRPr="00067DBF" w:rsidTr="00FA2853">
        <w:trPr>
          <w:trHeight w:val="240"/>
        </w:trPr>
        <w:tc>
          <w:tcPr>
            <w:tcW w:w="108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Малегус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Ігор Євгенович</w:t>
            </w:r>
          </w:p>
        </w:tc>
        <w:tc>
          <w:tcPr>
            <w:tcW w:w="202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6827" w:rsidRPr="00067DBF" w:rsidRDefault="00B16827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050-832-09-22</w:t>
            </w:r>
          </w:p>
        </w:tc>
      </w:tr>
      <w:tr w:rsidR="00067DBF" w:rsidRPr="00067DBF" w:rsidTr="00FA2853">
        <w:trPr>
          <w:trHeight w:val="13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181301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2379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83E43" w:rsidRDefault="00067DBF" w:rsidP="003A37AC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м. Малин – вул. Автомобілістів, вул. Антоновича, вул. Будівельників, вул. Генерала Горбатюка (Ватутіна),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Соколовців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Гастелло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), вул. Добролюбова, вул. Єгорова, вул. Кармелюка, вул. Каштанова, вул. Ковпака, вул. Степана Бандери (Кримського), вул. Кузнєцова, вул. Макаренка, вул. Сагайдачного (Матросова), вул. Маяковського, вул. Мельниченка, вул. Героїв Базару (Мічуріна), вул. Просвіти (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Нахімова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), вул. Лугова (Панфілова),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Седова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вул. Сім’ї Сосніних, вул. Довженка (Стаханова), вул. Толстого, вул. Тургенєва, вул. Євгена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Коновальця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(пров. Щербакова),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Щербівська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пров. Добролюбова, пров. Кармелюка, пров. Степана Бандери (Кримського), пров. Сагайдачного (Матросова), пров. Маяковського, пров. Тургенєва, пров. Євгена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Коновальця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(вул. Щербакова), пров.1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-й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Каштан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овий, пров.2-й Каштановий, </w:t>
            </w:r>
          </w:p>
          <w:p w:rsidR="00067DBF" w:rsidRPr="00067DBF" w:rsidRDefault="003A37AC" w:rsidP="003A37AC">
            <w:pPr>
              <w:rPr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пров.</w:t>
            </w:r>
            <w:r w:rsidR="00283E4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3-й </w:t>
            </w:r>
            <w:r w:rsidR="00067DBF"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Каштановий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Войтюк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Оксана Романівна</w:t>
            </w:r>
          </w:p>
          <w:p w:rsid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A2853" w:rsidRDefault="00FA2853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A2853" w:rsidRPr="00067DBF" w:rsidRDefault="00FA2853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096-070-37-71</w:t>
            </w:r>
          </w:p>
        </w:tc>
      </w:tr>
      <w:tr w:rsidR="00067DBF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4A7B29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Грищенко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Вячеслав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Миколайович</w:t>
            </w:r>
          </w:p>
          <w:p w:rsid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A2853" w:rsidRDefault="00FA2853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A2853" w:rsidRPr="00067DBF" w:rsidRDefault="00FA2853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097-841-39-20</w:t>
            </w:r>
          </w:p>
        </w:tc>
      </w:tr>
      <w:tr w:rsidR="00067DBF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7DBF" w:rsidRPr="00067DBF" w:rsidRDefault="00067DBF" w:rsidP="004A7B29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Сафранчук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Сергій Петрович</w:t>
            </w:r>
          </w:p>
        </w:tc>
        <w:tc>
          <w:tcPr>
            <w:tcW w:w="202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095-286-7557</w:t>
            </w:r>
          </w:p>
        </w:tc>
      </w:tr>
      <w:tr w:rsidR="00067DBF" w:rsidRPr="00067DBF" w:rsidTr="00FA2853">
        <w:trPr>
          <w:trHeight w:val="13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181302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2156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24" w:space="0" w:color="auto"/>
            </w:tcBorders>
          </w:tcPr>
          <w:p w:rsidR="00067DBF" w:rsidRPr="00067DBF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м.Малин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–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вул.Героїв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Малинського підпілля,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Городищанська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Житомирська,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Заводська: 40, 42–44, 49–90;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Квітнева,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Мелещенка,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Миру,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Молодіжна,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Незалежності,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Садова, вул. 14 ОМБ князя Романа Великого (скорочена назва - вул. 14 ОМБ) (Танкістів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Кантемирівців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),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Черняхівського,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Яремчука, пров.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Молодіжний, пров. 14 ОМБ князя Романа Великого (скорочена назва - пров. 14 ОМБ) (Танкістів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Кантемирівців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), пров.1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Квітневий, пров.1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Незалежності, пров.2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Квітневий, пров.2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Незалежності, пров.3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Квітневий</w:t>
            </w:r>
          </w:p>
        </w:tc>
        <w:tc>
          <w:tcPr>
            <w:tcW w:w="2625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Мельник Олег Васильович</w:t>
            </w:r>
          </w:p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067-131-23-52</w:t>
            </w:r>
          </w:p>
        </w:tc>
      </w:tr>
      <w:tr w:rsidR="00067DBF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067DBF" w:rsidRPr="00067DBF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Лісовський Юрій Володимирович</w:t>
            </w:r>
          </w:p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left w:val="single" w:sz="24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050-382-56-60</w:t>
            </w:r>
          </w:p>
        </w:tc>
      </w:tr>
      <w:tr w:rsidR="00067DBF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24" w:space="0" w:color="auto"/>
            </w:tcBorders>
          </w:tcPr>
          <w:p w:rsidR="00067DBF" w:rsidRPr="00067DBF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Костюченко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Лариса Миколаївна</w:t>
            </w:r>
          </w:p>
        </w:tc>
        <w:tc>
          <w:tcPr>
            <w:tcW w:w="2023" w:type="dxa"/>
            <w:tcBorders>
              <w:left w:val="single" w:sz="24" w:space="0" w:color="auto"/>
              <w:right w:val="single" w:sz="18" w:space="0" w:color="auto"/>
            </w:tcBorders>
          </w:tcPr>
          <w:p w:rsidR="00067DBF" w:rsidRPr="00067DBF" w:rsidRDefault="00067DBF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097-772-10-04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181303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1510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23402C" w:rsidRDefault="0023402C" w:rsidP="003A37AC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Малин –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44 окремої артилерійської бригади (скорочена назва вул. 44 ОАБ) (Артема), 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вул.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Базарна,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Бориса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Жужмана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Гайдара,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Гіжицьких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Жуковського,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Заводська: 3–39, 41–41А, 45–47; вул. Гетьмана Скоропадського (Комарова),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Крилова,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Огієнка: 1–56А;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вул.Осипенка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вул.Покровська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Православна,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Привокзальна, вул. Космонавта Каденюка (Терешкової), вул. Івана Виговського (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Тухачевського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Філатова,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Франка,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Цегельна,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Ярова, пров. 44 окремої артилерійської бригади (скорочена назва - пров. 44 ОАБ) (Артема), пров.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Заводський, пров.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Покровський, пров.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Привокзальний, про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в. Філатова, пров. Франка, пров.1-й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Базарний, пров.1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Гайдара, пров.1 Гетьмана Скоропадського (Комарова), пров.1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-й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Осипенка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пров.1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Івана Виговського (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Тухачевського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), пров.2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Базарний, пров.2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Гайдара, пров.2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Гетьмана Скоропадського (Комарова), пров.2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-й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ипенка</w:t>
            </w:r>
            <w:proofErr w:type="spellEnd"/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пров.2-й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Ів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ана Виговського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Тухачевського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2625" w:type="dxa"/>
            <w:tcBorders>
              <w:top w:val="single" w:sz="2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Костюченко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Лариса Миколаївна</w:t>
            </w:r>
          </w:p>
          <w:p w:rsidR="0023402C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3402C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097-772-10-04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Єщенко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Руслан Миколайович</w:t>
            </w:r>
          </w:p>
          <w:p w:rsidR="0023402C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067-963-44-01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top w:val="single" w:sz="2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Парфіненко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Наталія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Юрівна</w:t>
            </w:r>
            <w:proofErr w:type="spellEnd"/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096-951-53-14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181304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2022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м.Малин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–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Вишнева,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Джерельна,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Древлянська, вул. Бульби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Боровця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(Жукова),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Зоряна,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Князя Мала, вул. Генерала Шухевича (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Косарєва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),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Кучевського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Машинобудівників,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Міщенка,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Огієнка: 58–73;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Польова,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Світанкова,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Чернишевича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30 років Перемоги, пров.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Огієнка, просп.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Машинобудівників</w:t>
            </w:r>
          </w:p>
        </w:tc>
        <w:tc>
          <w:tcPr>
            <w:tcW w:w="2625" w:type="dxa"/>
            <w:tcBorders>
              <w:top w:val="single" w:sz="2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Рудицька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Олеся Ростиславівна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097-393-19-46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Бенчук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Андрій Леонідович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097-128-83-75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top w:val="single" w:sz="2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Насіканова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Марія Іванівна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097-066-91-51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181305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2252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Малин –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Бакланова, вул.</w:t>
            </w:r>
            <w:r w:rsidR="003A37A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Василя Стуса,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Винниченка,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Віктора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Мирутенка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Гоголя,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Дорошок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Київська,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Коцюбинського, вул. Олександра Олеся (Куйбишева), вул. Сухомлинського (Кутузова),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Лермонтова, вул. Олени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Теліги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(Лізи Чайкіної), вул. Академіка Вернадського (Ломоносова),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Меблева,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Нова,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Пушкіна,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Романенка,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Скуратівського Василя, вул.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Українських Повстанців, пров.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Гоголя, пров.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Грушевського, пров.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Київський, пров. Олександра Олеся (Куйбишева), пров. Сухомлинського (Кутузова), пров.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Лермонтова, пров. Академіка Вернадського (Ломоносова), пров.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Пушкіна, пров.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Українських Повстанців, пров.1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Віктора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Мирутенка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пров.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Коцюбинського, пров.1 Романенка, пров.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Віктора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Мирутенка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пров.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Коцюбинського, пров.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-й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Романенка</w:t>
            </w:r>
          </w:p>
        </w:tc>
        <w:tc>
          <w:tcPr>
            <w:tcW w:w="2625" w:type="dxa"/>
            <w:tcBorders>
              <w:top w:val="single" w:sz="2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Сербін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Валентин Іванович</w:t>
            </w:r>
          </w:p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067-458-72-58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Грищенко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Вячеслав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Миколайович</w:t>
            </w:r>
          </w:p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097-841-39-20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top w:val="single" w:sz="2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Сафранчук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Сергій Петрович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095-286-7557</w:t>
            </w:r>
          </w:p>
        </w:tc>
      </w:tr>
      <w:tr w:rsidR="0023402C" w:rsidRPr="00067DBF" w:rsidTr="00FA2853">
        <w:trPr>
          <w:trHeight w:val="40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181306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2324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23402C" w:rsidRDefault="0023402C" w:rsidP="00283E43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м. Малин –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Бондарик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, вул. Вайсера, вул. Горького, вул. Грищенка, вул. Дібрівська, вул. Енергетиків,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Зубарева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Іршанська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, вул. Козацька, вул. Корольова, вул. Лесі Українки, вул. Лисенка: 21, 25–103;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Народицька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, вул. Некрасова, вул. Панаса Мирного, вул. Партизанська,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Пиріжківська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вул. Поліська, вул. Слобідська, вул. 10 окремої гірсько-штурмової бригади (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скор</w:t>
            </w:r>
            <w:r w:rsidR="00283E43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очена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назва вул. 10 ОГШБ) (Суворова), вул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. Чернишевського, вул. </w:t>
            </w:r>
            <w:proofErr w:type="spellStart"/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Чкалова</w:t>
            </w:r>
            <w:proofErr w:type="spellEnd"/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</w:t>
            </w:r>
            <w:r w:rsidR="00283E43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вул.1-ша Лісна, вул. 2-га Лісна, пров. Лесі Українки, пров. Лісний, пров. Некрасо</w:t>
            </w:r>
            <w:r w:rsidR="000C5FA9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ва, пров. Панаса Мирного, пров. </w:t>
            </w: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Партизанський, пров. Скуратівського Василя, пров. Чернишевського, пров.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Чкалова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, пров. 1-й Грищенка, пров. 1-й Козацький, пров. 2-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й Грищенка, пров. 2-й Козацький</w:t>
            </w:r>
          </w:p>
        </w:tc>
        <w:tc>
          <w:tcPr>
            <w:tcW w:w="2625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Гуцалюк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Ольга Михайлівна</w:t>
            </w:r>
          </w:p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098-714-94-66</w:t>
            </w:r>
          </w:p>
        </w:tc>
      </w:tr>
      <w:tr w:rsidR="0023402C" w:rsidRPr="00067DBF" w:rsidTr="00FA2853">
        <w:trPr>
          <w:trHeight w:val="465"/>
        </w:trPr>
        <w:tc>
          <w:tcPr>
            <w:tcW w:w="1082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Чушенко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Сергій Васильович</w:t>
            </w:r>
          </w:p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095-274-11-11</w:t>
            </w:r>
          </w:p>
        </w:tc>
      </w:tr>
      <w:tr w:rsidR="0023402C" w:rsidRPr="00067DBF" w:rsidTr="00FA2853">
        <w:trPr>
          <w:trHeight w:val="585"/>
        </w:trPr>
        <w:tc>
          <w:tcPr>
            <w:tcW w:w="1082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Шостак Олексій Григорович</w:t>
            </w:r>
          </w:p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096-531-91-76</w:t>
            </w:r>
          </w:p>
        </w:tc>
      </w:tr>
      <w:tr w:rsidR="0023402C" w:rsidRPr="00067DBF" w:rsidTr="00FA2853">
        <w:trPr>
          <w:trHeight w:val="615"/>
        </w:trPr>
        <w:tc>
          <w:tcPr>
            <w:tcW w:w="108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Кисельчук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Дмитрій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Васильович</w:t>
            </w:r>
          </w:p>
        </w:tc>
        <w:tc>
          <w:tcPr>
            <w:tcW w:w="202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050-313-40-20</w:t>
            </w:r>
          </w:p>
        </w:tc>
      </w:tr>
      <w:tr w:rsidR="0023402C" w:rsidRPr="00067DBF" w:rsidTr="00FA2853">
        <w:trPr>
          <w:trHeight w:val="390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181307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1786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м. Малин – вул. Барвінкова, вул. Героїв Крут, вул. Героїв Холодного Яру,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Глінки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Захарченка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вул. Космонавтів, вул. Кузьми Скрябіна, вул. Лисенка: 1–20, 22–24;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Миклухи-Маклая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вул. Ніни Сосніної, вул. Пляжна, вул. Шевченка, вул. Соборний узвіз (1-го Травня), пл. Соборна, пров. Винниченка, пров. Героїв Крут, пров. Космонавтів, пров. Кузьми Скрябіна, пров. 1-й Шевченка, пров. 2-й Шевченка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Єнько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Валентина Миколаївна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063-192-97-49</w:t>
            </w:r>
          </w:p>
        </w:tc>
      </w:tr>
      <w:tr w:rsidR="0023402C" w:rsidRPr="00067DBF" w:rsidTr="00FA2853">
        <w:trPr>
          <w:trHeight w:val="43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Гаєвський Петро Петрович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067-410-53-20</w:t>
            </w:r>
          </w:p>
        </w:tc>
      </w:tr>
      <w:tr w:rsidR="0023402C" w:rsidRPr="00067DBF" w:rsidTr="00FA2853">
        <w:trPr>
          <w:trHeight w:val="540"/>
        </w:trPr>
        <w:tc>
          <w:tcPr>
            <w:tcW w:w="108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Хоменко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Віктор Васильович</w:t>
            </w:r>
          </w:p>
        </w:tc>
        <w:tc>
          <w:tcPr>
            <w:tcW w:w="202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067-505-10-21</w:t>
            </w:r>
          </w:p>
        </w:tc>
      </w:tr>
      <w:tr w:rsidR="0023402C" w:rsidRPr="00067DBF" w:rsidTr="00FA2853">
        <w:trPr>
          <w:trHeight w:val="31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181308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2326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83E43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м. Малин – вул. Богдана Хмельницького, вул. Гагаріна: 4–28; вул. Герцена,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Гончарова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, вул. Кошового,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Неманіхіна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 xml:space="preserve">, вул. Павлова, вул. Паперовиків (Петровського), вул. Приходька, </w:t>
            </w:r>
          </w:p>
          <w:p w:rsidR="0023402C" w:rsidRPr="00067DBF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вул. Злагоди (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Чернова-Мирутенка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  <w:t>), вул. Чехова, пров. Чехова, пров. 1-й Богдана Хмельницького, пров. 1-й Герцена, пров. 2-й Богдана Хмельницького, пров. 2-й Герцена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Старжинський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Ігор Олександрович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093-505-63-70</w:t>
            </w:r>
          </w:p>
        </w:tc>
      </w:tr>
      <w:tr w:rsidR="0023402C" w:rsidRPr="00067DBF" w:rsidTr="00FA2853">
        <w:trPr>
          <w:trHeight w:val="40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Дорошук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Тетяна Іванівна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063-471-86-74</w:t>
            </w:r>
          </w:p>
        </w:tc>
      </w:tr>
      <w:tr w:rsidR="0023402C" w:rsidRPr="00067DBF" w:rsidTr="00FA2853">
        <w:trPr>
          <w:trHeight w:val="420"/>
        </w:trPr>
        <w:tc>
          <w:tcPr>
            <w:tcW w:w="108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26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Карпенко Сергій Васильович</w:t>
            </w:r>
          </w:p>
        </w:tc>
        <w:tc>
          <w:tcPr>
            <w:tcW w:w="202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093-831-14-90</w:t>
            </w:r>
          </w:p>
        </w:tc>
      </w:tr>
      <w:tr w:rsidR="0023402C" w:rsidRPr="00067DBF" w:rsidTr="00FA2853">
        <w:trPr>
          <w:trHeight w:val="19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181309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2328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23402C">
            <w:pPr>
              <w:ind w:left="-90" w:right="-108"/>
              <w:rPr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м. Малин –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Барміна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вул. Гагаріна: 29–57; вул. Грибоєдова, вул. Залізнична, вул. </w:t>
            </w:r>
            <w:proofErr w:type="spellStart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Курчатова</w:t>
            </w:r>
            <w:proofErr w:type="spellEnd"/>
            <w:r w:rsidRPr="00067DB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вул. Лісний кордон 58, вул. Набережна, вул. Пилипа Орлика, вул. Чорновола, вул. Шкільна, пров. Чорновола, пров. Шкільний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Столяр Олександр Васильович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050-510-79-58</w:t>
            </w:r>
          </w:p>
        </w:tc>
      </w:tr>
      <w:tr w:rsidR="0023402C" w:rsidRPr="00067DBF" w:rsidTr="00FA2853">
        <w:trPr>
          <w:trHeight w:val="210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Майстренко Василь Петрович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097-453-82-50</w:t>
            </w:r>
          </w:p>
        </w:tc>
      </w:tr>
      <w:tr w:rsidR="0023402C" w:rsidRPr="00067DBF" w:rsidTr="00FA2853">
        <w:trPr>
          <w:trHeight w:val="270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Рудченко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Юрій Миколайович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097-002-03-04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180563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1108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смт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Гранітне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Євдокименко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Валерій Петрович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050-363-15-14</w:t>
            </w:r>
          </w:p>
        </w:tc>
      </w:tr>
      <w:tr w:rsidR="0023402C" w:rsidRPr="00067DBF" w:rsidTr="00FA2853">
        <w:trPr>
          <w:trHeight w:val="120"/>
        </w:trPr>
        <w:tc>
          <w:tcPr>
            <w:tcW w:w="108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Лазарчук Людмила Анатоліївна</w:t>
            </w:r>
          </w:p>
        </w:tc>
        <w:tc>
          <w:tcPr>
            <w:tcW w:w="202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097-682-92-93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180571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418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Ворсівка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Візня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Зибин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Королівка,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Рудня-Городищенська</w:t>
            </w:r>
            <w:proofErr w:type="spellEnd"/>
          </w:p>
          <w:p w:rsidR="0023402C" w:rsidRPr="00067DBF" w:rsidRDefault="0023402C" w:rsidP="004A7B29">
            <w:pPr>
              <w:rPr>
                <w:sz w:val="27"/>
                <w:szCs w:val="27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Дмитренко Дмитро Васильович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067-538-31-61</w:t>
            </w:r>
          </w:p>
        </w:tc>
      </w:tr>
      <w:tr w:rsidR="0023402C" w:rsidRPr="00067DBF" w:rsidTr="00FA2853">
        <w:trPr>
          <w:trHeight w:val="582"/>
        </w:trPr>
        <w:tc>
          <w:tcPr>
            <w:tcW w:w="1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180573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291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Горинь,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Березине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В’юнище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Єлівка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Ободівка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Соснівка</w:t>
            </w:r>
            <w:proofErr w:type="spellEnd"/>
          </w:p>
          <w:p w:rsidR="0023402C" w:rsidRPr="00067DBF" w:rsidRDefault="0023402C" w:rsidP="004A7B29">
            <w:pPr>
              <w:rPr>
                <w:sz w:val="27"/>
                <w:szCs w:val="27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Дмитренко Дмитро Васильович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067-538-31-61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180574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93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Гута-Логанівська</w:t>
            </w:r>
            <w:proofErr w:type="spellEnd"/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Дмитренко Дмитро Васильович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067-538-31-61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180577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223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Іванівка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Жабоч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с. Рубанка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Дмитренко Дмитро Васильович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067-538-31-61</w:t>
            </w:r>
          </w:p>
        </w:tc>
      </w:tr>
      <w:tr w:rsidR="0023402C" w:rsidRPr="00067DBF" w:rsidTr="00FA2853">
        <w:trPr>
          <w:trHeight w:val="582"/>
        </w:trPr>
        <w:tc>
          <w:tcPr>
            <w:tcW w:w="1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180578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86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Нянівка</w:t>
            </w:r>
            <w:proofErr w:type="spellEnd"/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Дмитренко Дмитро Васильович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067-538-31-61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180584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527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Луки, с. Буки, с. Бучки, с. Забране,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Сичівка</w:t>
            </w:r>
            <w:proofErr w:type="spellEnd"/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Кашиця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Вячеслав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Михайлович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067-465-10-88</w:t>
            </w:r>
          </w:p>
        </w:tc>
      </w:tr>
      <w:tr w:rsidR="0023402C" w:rsidRPr="00067DBF" w:rsidTr="00FA2853">
        <w:trPr>
          <w:trHeight w:val="582"/>
        </w:trPr>
        <w:tc>
          <w:tcPr>
            <w:tcW w:w="1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180597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417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Слобідка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Насіканова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Марія Іванівна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097-066-91-51</w:t>
            </w:r>
          </w:p>
        </w:tc>
      </w:tr>
      <w:tr w:rsidR="0023402C" w:rsidRPr="00067DBF" w:rsidTr="00FA2853">
        <w:trPr>
          <w:trHeight w:val="447"/>
        </w:trPr>
        <w:tc>
          <w:tcPr>
            <w:tcW w:w="1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180598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213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Щербатівка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Насіканова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Марія Іванівна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097-066-91-51</w:t>
            </w:r>
          </w:p>
        </w:tc>
      </w:tr>
      <w:tr w:rsidR="0023402C" w:rsidRPr="00067DBF" w:rsidTr="00FA2853">
        <w:trPr>
          <w:trHeight w:val="383"/>
        </w:trPr>
        <w:tc>
          <w:tcPr>
            <w:tcW w:w="1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180599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272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Гамарня</w:t>
            </w:r>
            <w:proofErr w:type="spellEnd"/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Насіканова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Марія Іванівна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097-066-91-51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180601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623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Українка</w:t>
            </w: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Ліпей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Надія Володимирівна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050-411-08-50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180602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201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Устинівка, с. Тарасівка, с. Тростяниця,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Фортунатівка</w:t>
            </w:r>
            <w:proofErr w:type="spellEnd"/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Кашиця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Вячеслав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Михайлович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067-465-10-88</w:t>
            </w:r>
          </w:p>
        </w:tc>
      </w:tr>
      <w:tr w:rsidR="0023402C" w:rsidRPr="00067DBF" w:rsidTr="00FA2853">
        <w:trPr>
          <w:trHeight w:val="165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180603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473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sz w:val="27"/>
                <w:szCs w:val="27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Федорівка</w:t>
            </w:r>
            <w:proofErr w:type="spellEnd"/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Лазарчук Людмила Анатоліївна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097-682-92-93</w:t>
            </w:r>
          </w:p>
        </w:tc>
      </w:tr>
      <w:tr w:rsidR="0023402C" w:rsidRPr="00067DBF" w:rsidTr="00FA2853">
        <w:trPr>
          <w:trHeight w:val="105"/>
        </w:trPr>
        <w:tc>
          <w:tcPr>
            <w:tcW w:w="108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Насіканова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Марія Іванівна</w:t>
            </w:r>
          </w:p>
        </w:tc>
        <w:tc>
          <w:tcPr>
            <w:tcW w:w="2023" w:type="dxa"/>
            <w:tcBorders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097-066-91-51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180568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209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Будо-Вороб’ї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Клітня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с. Привітне</w:t>
            </w:r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Гаєвський Петро Петрович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067-410-53-20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180569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176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Вишів,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Мар’ятин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Трудолюбівка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Косня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Гаєвський Петро Петрович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067-410-53-20</w:t>
            </w:r>
          </w:p>
        </w:tc>
      </w:tr>
      <w:tr w:rsidR="0023402C" w:rsidRPr="00067DBF" w:rsidTr="00FA2853">
        <w:trPr>
          <w:trHeight w:val="409"/>
        </w:trPr>
        <w:tc>
          <w:tcPr>
            <w:tcW w:w="1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180575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Діброва, с. Нова Діброва,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Ярочище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Савченко Микола Іванович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068-963-27-78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180576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133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Гуска, с. Лісна колона</w:t>
            </w:r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Савченко Микола Іванович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068-963-27-78</w:t>
            </w:r>
          </w:p>
        </w:tc>
      </w:tr>
      <w:tr w:rsidR="0023402C" w:rsidRPr="00067DBF" w:rsidTr="00FA2853">
        <w:trPr>
          <w:trHeight w:val="120"/>
        </w:trPr>
        <w:tc>
          <w:tcPr>
            <w:tcW w:w="108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180582</w:t>
            </w:r>
          </w:p>
        </w:tc>
        <w:tc>
          <w:tcPr>
            <w:tcW w:w="132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279</w:t>
            </w:r>
          </w:p>
        </w:tc>
        <w:tc>
          <w:tcPr>
            <w:tcW w:w="79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Ксаверів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Рудченко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Юрій Миколайович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097-002-03-04</w:t>
            </w:r>
          </w:p>
        </w:tc>
      </w:tr>
      <w:tr w:rsidR="0023402C" w:rsidRPr="00067DBF" w:rsidTr="00FA2853">
        <w:trPr>
          <w:trHeight w:val="135"/>
        </w:trPr>
        <w:tc>
          <w:tcPr>
            <w:tcW w:w="108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32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79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Савченко Микола Іванович</w:t>
            </w:r>
          </w:p>
        </w:tc>
        <w:tc>
          <w:tcPr>
            <w:tcW w:w="202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068-963-27-78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180583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101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Рудня-Калинівка,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Савлуки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Савченко Микола Іванович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068-963-27-78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180585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294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Любовичі</w:t>
            </w:r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Гончаренко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Галина Аркадіївна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096-794-33-66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180586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Білий Берег6 с. Новоселиця,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Стасева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Ялцівка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Гончаренко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Галина Аркадіївна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096-794-33-66</w:t>
            </w:r>
          </w:p>
        </w:tc>
      </w:tr>
      <w:tr w:rsidR="0023402C" w:rsidRPr="00067DBF" w:rsidTr="00FA2853">
        <w:trPr>
          <w:trHeight w:val="354"/>
        </w:trPr>
        <w:tc>
          <w:tcPr>
            <w:tcW w:w="1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180587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689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Малинівка,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Юрівка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Парфіненко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Наталія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Юрівна</w:t>
            </w:r>
            <w:proofErr w:type="spellEnd"/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096-951-53-14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180588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190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Лумля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Парфіненко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Наталія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Юрівна</w:t>
            </w:r>
            <w:proofErr w:type="spellEnd"/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096-951-53-14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180589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167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Різня</w:t>
            </w:r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Парфіненко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Наталія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Юрівна</w:t>
            </w:r>
            <w:proofErr w:type="spellEnd"/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096-951-53-14</w:t>
            </w:r>
          </w:p>
        </w:tc>
      </w:tr>
      <w:tr w:rsidR="0023402C" w:rsidRPr="00067DBF" w:rsidTr="00FA2853">
        <w:trPr>
          <w:trHeight w:val="326"/>
        </w:trPr>
        <w:tc>
          <w:tcPr>
            <w:tcW w:w="1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180590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155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Морозівка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с. Нова Гута, с. Стара Гута</w:t>
            </w:r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Гаєвський Петро Петрович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067-410-53-20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180591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158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Вороб‘ївщина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Нова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Рутвянка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П’ятидуб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Рутвянка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Свиридівка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Гаєвський Петро Петрович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067-410-53-20</w:t>
            </w:r>
          </w:p>
        </w:tc>
      </w:tr>
      <w:tr w:rsidR="0023402C" w:rsidRPr="00067DBF" w:rsidTr="00FA2853">
        <w:trPr>
          <w:trHeight w:val="336"/>
        </w:trPr>
        <w:tc>
          <w:tcPr>
            <w:tcW w:w="1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180592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386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Недашки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Вишнянка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с. Зелений Гай</w:t>
            </w:r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Савченко Микола Іванович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068-963-27-78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180593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353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Нові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Вороб‘ї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Дружне, с. Нове Життя,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Рудня-Вороб’ївська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Яблунівка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Гаєвський Петро Петрович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067-410-53-20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180594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494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 Пиріжки</w:t>
            </w:r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Грищенко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Вячеслав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Миколайович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097-841-39-20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180595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129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Баранівка</w:t>
            </w:r>
            <w:proofErr w:type="spellEnd"/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Грищенко </w:t>
            </w:r>
            <w:proofErr w:type="spellStart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Вячеслав</w:t>
            </w:r>
            <w:proofErr w:type="spellEnd"/>
            <w:r w:rsidRPr="00067DBF">
              <w:rPr>
                <w:rFonts w:ascii="Times New Roman" w:hAnsi="Times New Roman" w:cs="Times New Roman"/>
                <w:sz w:val="27"/>
                <w:szCs w:val="27"/>
              </w:rPr>
              <w:t xml:space="preserve"> Миколайович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097-841-39-20</w:t>
            </w:r>
          </w:p>
        </w:tc>
      </w:tr>
      <w:tr w:rsidR="0023402C" w:rsidRPr="00067DBF" w:rsidTr="00FA2853">
        <w:tc>
          <w:tcPr>
            <w:tcW w:w="10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180600</w:t>
            </w:r>
          </w:p>
        </w:tc>
        <w:tc>
          <w:tcPr>
            <w:tcW w:w="1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135</w:t>
            </w:r>
          </w:p>
        </w:tc>
        <w:tc>
          <w:tcPr>
            <w:tcW w:w="79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с. Старі </w:t>
            </w:r>
            <w:proofErr w:type="spellStart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Вороб‘ї</w:t>
            </w:r>
            <w:proofErr w:type="spellEnd"/>
            <w:r w:rsidRPr="00067DB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с. Студень, с. Першотравневе</w:t>
            </w:r>
          </w:p>
          <w:p w:rsidR="0023402C" w:rsidRPr="00067DBF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Гаєвський Петро Петрович</w:t>
            </w:r>
          </w:p>
        </w:tc>
        <w:tc>
          <w:tcPr>
            <w:tcW w:w="2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402C" w:rsidRPr="00067DBF" w:rsidRDefault="0023402C" w:rsidP="00FA28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7DBF">
              <w:rPr>
                <w:rFonts w:ascii="Times New Roman" w:hAnsi="Times New Roman" w:cs="Times New Roman"/>
                <w:sz w:val="27"/>
                <w:szCs w:val="27"/>
              </w:rPr>
              <w:t>067-410-53-20</w:t>
            </w:r>
          </w:p>
        </w:tc>
      </w:tr>
    </w:tbl>
    <w:p w:rsidR="00BA1C41" w:rsidRDefault="00BA1C41" w:rsidP="00F329A0">
      <w:pPr>
        <w:ind w:left="851"/>
      </w:pPr>
    </w:p>
    <w:p w:rsidR="00F329A0" w:rsidRDefault="00F329A0" w:rsidP="000C5FA9"/>
    <w:p w:rsidR="00F329A0" w:rsidRPr="00F329A0" w:rsidRDefault="00F329A0" w:rsidP="00F329A0">
      <w:pPr>
        <w:ind w:left="851"/>
        <w:rPr>
          <w:rFonts w:ascii="Times New Roman" w:hAnsi="Times New Roman" w:cs="Times New Roman"/>
          <w:sz w:val="28"/>
        </w:rPr>
      </w:pPr>
      <w:r w:rsidRPr="00F329A0">
        <w:rPr>
          <w:rFonts w:ascii="Times New Roman" w:hAnsi="Times New Roman" w:cs="Times New Roman"/>
          <w:sz w:val="28"/>
        </w:rPr>
        <w:t>Секретар міської ради                                                                                      Василь МАЙСТРЕНКО</w:t>
      </w:r>
    </w:p>
    <w:sectPr w:rsidR="00F329A0" w:rsidRPr="00F329A0" w:rsidSect="000C5FA9">
      <w:pgSz w:w="16838" w:h="11906" w:orient="landscape"/>
      <w:pgMar w:top="1276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0CA"/>
    <w:rsid w:val="0003099F"/>
    <w:rsid w:val="00067DBF"/>
    <w:rsid w:val="000C5FA9"/>
    <w:rsid w:val="00107A4C"/>
    <w:rsid w:val="001156D1"/>
    <w:rsid w:val="001B31A7"/>
    <w:rsid w:val="001C5E30"/>
    <w:rsid w:val="0023402C"/>
    <w:rsid w:val="00266C23"/>
    <w:rsid w:val="00272A37"/>
    <w:rsid w:val="00283E43"/>
    <w:rsid w:val="002D6429"/>
    <w:rsid w:val="0032601F"/>
    <w:rsid w:val="003471DC"/>
    <w:rsid w:val="003A37AC"/>
    <w:rsid w:val="004315C5"/>
    <w:rsid w:val="00451771"/>
    <w:rsid w:val="004A7B29"/>
    <w:rsid w:val="004B61C8"/>
    <w:rsid w:val="004F37B0"/>
    <w:rsid w:val="00546EF0"/>
    <w:rsid w:val="00554760"/>
    <w:rsid w:val="00564DBA"/>
    <w:rsid w:val="005948D2"/>
    <w:rsid w:val="00595101"/>
    <w:rsid w:val="005F29C6"/>
    <w:rsid w:val="00650D8A"/>
    <w:rsid w:val="00653128"/>
    <w:rsid w:val="00847843"/>
    <w:rsid w:val="008A24CD"/>
    <w:rsid w:val="008B6EAB"/>
    <w:rsid w:val="00915D47"/>
    <w:rsid w:val="00A511EB"/>
    <w:rsid w:val="00AD3302"/>
    <w:rsid w:val="00B16827"/>
    <w:rsid w:val="00B5223F"/>
    <w:rsid w:val="00B547C3"/>
    <w:rsid w:val="00BA1C41"/>
    <w:rsid w:val="00BD72B0"/>
    <w:rsid w:val="00C251B2"/>
    <w:rsid w:val="00C73D08"/>
    <w:rsid w:val="00CE4212"/>
    <w:rsid w:val="00CF12DB"/>
    <w:rsid w:val="00CF50CA"/>
    <w:rsid w:val="00E46574"/>
    <w:rsid w:val="00F329A0"/>
    <w:rsid w:val="00FA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9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6494</Words>
  <Characters>3702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Пользователь Windows</cp:lastModifiedBy>
  <cp:revision>4</cp:revision>
  <cp:lastPrinted>2022-10-18T11:43:00Z</cp:lastPrinted>
  <dcterms:created xsi:type="dcterms:W3CDTF">2022-10-17T13:31:00Z</dcterms:created>
  <dcterms:modified xsi:type="dcterms:W3CDTF">2022-10-18T11:43:00Z</dcterms:modified>
</cp:coreProperties>
</file>